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u w:val="single"/>
          <w:rtl w:val="0"/>
        </w:rPr>
        <w:t xml:space="preserve">Curriculum Vitae                      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DADOS PESSOAIS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Luiz Guilherme Tchmola da Silva</w:t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  <w:br w:type="textWrapping"/>
        <w:t xml:space="preserve">Idade: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28 anos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Solteiro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Endereço: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Rua 4910, n 42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Bairro: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Uruguaia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Cidade: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Braço do Norte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(041) 99660-1230/ (041) 99263-2035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Habilitação: A/B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FORMAÇÃO ESCOLAR</w:t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Ensino Médio Completo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EXPERIÊNCIA PROFISSIONAL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Tchmola’s Refeições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Cargo: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Motoboy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Período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:5 anos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Empresa: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Ultragaz 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Cargo 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Motoboy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Período: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GL - Eletro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Administrador de produção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menor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aprendiz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Período: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11 meses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Incepa</w:t>
        <w:tab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Operador de máquina retifica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Período: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11 meses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FR industria metalúrgica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Decapador 1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mês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INFORMAÇÕES ADICIONAIS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Disponível para trabalhar qualquer horário</w:t>
        <w:br w:type="textWrapping"/>
        <w:t xml:space="preserve">Me considero uma pessoa responsável e dedicado com facilidade para aprender novas atividades.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before="360" w:lineRule="auto"/>
      <w:ind w:left="432" w:hanging="432"/>
    </w:pPr>
    <w:rPr>
      <w:rFonts w:ascii="Calibri" w:cs="Calibri" w:eastAsia="Calibri" w:hAnsi="Calibri"/>
      <w:b w:val="1"/>
      <w:smallCap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60" w:lineRule="auto"/>
      <w:ind w:left="576" w:hanging="576"/>
    </w:pPr>
    <w:rPr>
      <w:rFonts w:ascii="Calibri" w:cs="Calibri" w:eastAsia="Calibri" w:hAnsi="Calibri"/>
      <w:b w:val="1"/>
      <w:smallCap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rFonts w:ascii="Calibri" w:cs="Calibri" w:eastAsia="Calibri" w:hAnsi="Calibri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libri" w:cs="Calibri" w:eastAsia="Calibri" w:hAnsi="Calibri"/>
      <w:b w:val="1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1008" w:hanging="1008"/>
    </w:pPr>
    <w:rPr>
      <w:rFonts w:ascii="Calibri" w:cs="Calibri" w:eastAsia="Calibri" w:hAnsi="Calibri"/>
      <w:color w:val="323e4f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libri" w:cs="Calibri" w:eastAsia="Calibri" w:hAnsi="Calibri"/>
      <w:i w:val="1"/>
      <w:color w:val="323e4f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